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6531"/>
        <w:gridCol w:w="312"/>
      </w:tblGrid>
      <w:tr w:rsidR="00C04324" w:rsidRPr="00C04324" w14:paraId="2FCA24DA" w14:textId="77777777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E12BC2E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04324" w:rsidRPr="00C04324" w14:paraId="4DC36375" w14:textId="77777777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87A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DDF2" w14:textId="77777777"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15251CC" w14:textId="77777777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B517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843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3C7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682DD50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CC2BCB4" w14:textId="77777777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8DA4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6A7B719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6909F65C" w14:textId="77777777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F3F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56B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0AE4BE4" w14:textId="77777777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D0A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68B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1F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423137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BFD1E08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423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0D42B3F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68C1137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167D323D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2F93A74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60AE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8BF16B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AB958A2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238A12A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347175" w14:textId="77777777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B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9EA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A05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BC19B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919CF9A" w14:textId="77777777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F14A68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04B65" w14:textId="18A303B1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Nová</w:t>
            </w:r>
          </w:p>
        </w:tc>
        <w:tc>
          <w:tcPr>
            <w:tcW w:w="306" w:type="dxa"/>
            <w:vAlign w:val="center"/>
          </w:tcPr>
          <w:p w14:paraId="0219212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6B4EF6E" w14:textId="77777777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E3E1926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774E2" w14:textId="2C416340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306" w:type="dxa"/>
            <w:vAlign w:val="center"/>
          </w:tcPr>
          <w:p w14:paraId="592BF72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8C1CE6" w14:textId="77777777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521026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CB1" w14:textId="112B2D8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06" w:type="dxa"/>
            <w:vAlign w:val="center"/>
          </w:tcPr>
          <w:p w14:paraId="0DEAD8C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A26D64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3D50A9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4A93" w14:textId="1E15E87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BD5A18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C05A181" w14:textId="77777777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B7BC1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78091" w14:textId="77777777"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14:paraId="3B6C124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E4C548B" w14:textId="77777777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11B3CC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Expl.OCA6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B5C19" w14:textId="77777777" w:rsidR="00E23D51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output</w:t>
            </w:r>
          </w:p>
          <w:p w14:paraId="68B6A2B8" w14:textId="77777777" w:rsidR="00D6126B" w:rsidRPr="00C04324" w:rsidRDefault="00D6126B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</w:p>
          <w:p w14:paraId="39380C04" w14:textId="55B8445A" w:rsidR="00E23D51" w:rsidRPr="00C04324" w:rsidRDefault="00D6126B" w:rsidP="00C0432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NOVÁ, M.,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Hlavienka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L.,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Janák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D.,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Kolář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O. 2020.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Lidé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daleka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: Vietnamci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Mongolové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v českých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zemích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. Opava: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Slezská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univerzita 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Opavě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Fakulta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veřejných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politik 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Opavě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, s. 53-97. ISBN 978-80-7510-417-5.</w:t>
            </w:r>
          </w:p>
        </w:tc>
        <w:tc>
          <w:tcPr>
            <w:tcW w:w="306" w:type="dxa"/>
            <w:vAlign w:val="center"/>
          </w:tcPr>
          <w:p w14:paraId="3631C48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284EE9" w14:textId="77777777" w:rsidTr="00F32688">
        <w:trPr>
          <w:trHeight w:val="131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541D81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CC2DE" w14:textId="7C48132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</w:t>
            </w:r>
            <w:r w:rsidR="00B90267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</w:t>
            </w:r>
            <w:r w:rsidR="006C73D0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06" w:type="dxa"/>
            <w:vAlign w:val="center"/>
          </w:tcPr>
          <w:p w14:paraId="45CC92CB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F5B0FD7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82054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D0EA2" w14:textId="1FEDD1E0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7C1727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F05EDFC" w14:textId="77777777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7B70DE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5AC3F" w14:textId="43CDAAA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3BCDBE2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7ECB17" w14:textId="77777777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187BF62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C5B61E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E87A7C" w14:textId="5C7A0BC0" w:rsidR="00E23D51" w:rsidRPr="00C04324" w:rsidRDefault="00E23D51" w:rsidP="00C0432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7AFC75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031E9A" w14:textId="77777777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2089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FB35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0C6F6" w14:textId="4CD28B38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FD8C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6E7736A" w14:textId="77777777" w:rsidTr="006C73D0">
        <w:trPr>
          <w:trHeight w:val="3073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E49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8291B9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Expl.OCA12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D5A7F" w14:textId="77777777" w:rsidR="007224A1" w:rsidRPr="00C04324" w:rsidRDefault="007224A1" w:rsidP="00C04324">
            <w:pPr>
              <w:pStyle w:val="Textpoznpodarou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Monografia /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Monography</w:t>
            </w:r>
            <w:proofErr w:type="spellEnd"/>
          </w:p>
          <w:p w14:paraId="1125906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920B5B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EC4CA58" w14:textId="77777777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65C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A35216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98BABE" w14:textId="77777777" w:rsidR="006C73D0" w:rsidRDefault="006C73D0" w:rsidP="006C73D0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  <w:t>https://nm.opac.nm.cz/records/35b5c39d-5ba2-487d-ab74-29168a56184b</w:t>
            </w:r>
          </w:p>
          <w:p w14:paraId="5090FFF1" w14:textId="1D23EF35" w:rsidR="00E23D51" w:rsidRPr="00C04324" w:rsidRDefault="00E23D51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5B79465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BBEA9C3" w14:textId="77777777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822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F44F55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448D1" w14:textId="491C46FA" w:rsidR="007224A1" w:rsidRPr="00C04324" w:rsidRDefault="007224A1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456371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30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%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</w:t>
            </w:r>
            <w:r w:rsidR="00456371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30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14:paraId="11BA6B1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37AA4FA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588B1F9" w14:textId="77777777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6D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0C3178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1F3AEE" w14:textId="77777777" w:rsidR="00456371" w:rsidRPr="00456371" w:rsidRDefault="00456371" w:rsidP="0045637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Vietnamská a mongolská komunita v České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republice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sice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vykazují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určité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společné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znaky, ale existuje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mezi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nimi také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množství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rozdílů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jež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vycházejí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odlišného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společenského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hospodářského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demografického vývoje v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mateřských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zemích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stejně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jako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odlišných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motivů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okolností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imigrace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příslušníků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těchto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etnik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 ČR.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Zatímco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Vietnamci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jsou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tuzemském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prostředí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přítomni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již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delší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čas a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stávají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víceméně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samozřejmou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součástí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české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občanské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společnosti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imigrace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Mongolska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byla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donedávna vcelku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marginální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povědomí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většiny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českého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obyvatelstva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 nové národnostní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menšině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je </w:t>
            </w:r>
            <w:proofErr w:type="spellStart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prozatím</w:t>
            </w:r>
            <w:proofErr w:type="spellEnd"/>
            <w:r w:rsidRPr="004563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mizivé.</w:t>
            </w:r>
          </w:p>
          <w:p w14:paraId="20AA6F5A" w14:textId="17803EF9" w:rsidR="00E23D51" w:rsidRPr="00C04324" w:rsidRDefault="00646DFD" w:rsidP="00646DFD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</w:t>
            </w:r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Vietnamese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Mongolian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communities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Czech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Republic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show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certain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common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features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there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also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number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differences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between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them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which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based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different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economic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demographic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developments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mother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countries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well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as on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different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motives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circumstances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immigration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members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these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ethnic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groups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Czech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Republic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While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Vietnamese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have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been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present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domestic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environment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long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time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and are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becoming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more or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less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self-evident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Czech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civil society,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immigration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from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Mongolia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until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recently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quite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marginal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majority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Czech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population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aware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national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minority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time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being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06" w:type="dxa"/>
            <w:vAlign w:val="center"/>
          </w:tcPr>
          <w:p w14:paraId="457E9E3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2E65D42" w14:textId="77777777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82058F4" w14:textId="77777777" w:rsidR="00E23D51" w:rsidRPr="00C04324" w:rsidRDefault="00646DFD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C0DF8" w14:textId="23BA502F" w:rsidR="00E23D51" w:rsidRPr="00C04324" w:rsidRDefault="00E23D51" w:rsidP="00C04324">
            <w:pPr>
              <w:pStyle w:val="Formtovanv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05E08F4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7AC0FDA" w14:textId="77777777" w:rsidTr="00AE2E87">
        <w:trPr>
          <w:trHeight w:val="8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A94701D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25F1B" w14:textId="4317BF2D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Bencová, M., NOVÁ, M. 20</w:t>
            </w:r>
            <w:r w:rsidR="00B90267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7. Zvládnuto samy. O ženách v Afrike, ktoré už nepotrebujú pomoc. Bratislava: Dvoj farebný svet. 2017. ISBN 978-80-972478-4-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  <w:p w14:paraId="731153EE" w14:textId="77777777" w:rsidR="0049026D" w:rsidRPr="0049026D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2020.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Metody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seniory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In Ondrušová, J.,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Krahulcová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, B.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Gerentologie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práci. Praha: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Karolinum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, s. 119-128. ISBN 978-80-276-4383-0</w:t>
            </w:r>
          </w:p>
          <w:p w14:paraId="28158D86" w14:textId="3EF146A4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NOVÁ, M. </w:t>
            </w:r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2020.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enterprise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the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case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entrepreneurship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startup. In ŠEBESTOVÁ, J. (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Eds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.)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competencies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for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start-ups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small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business.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Hershey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, USA: IGI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Global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. p. 144-158. ISBN 9781799827153</w:t>
            </w:r>
          </w:p>
          <w:p w14:paraId="231858AC" w14:textId="77777777" w:rsidR="007224A1" w:rsidRPr="00F97540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2018.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Dimension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migration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Challenge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future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concern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? In STANÍČKOVÁ, M., KOVÁŘOVÁ, E., MELECKÝ, L., DVORKOVÁ, K (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eds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.).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Proceedings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4th  International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Conference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 Ostrava: VŠB -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Technical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University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Ostrava, 2018,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pp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. 1092-1099. ISBN 978-80-248-4169-4</w:t>
            </w:r>
          </w:p>
          <w:p w14:paraId="5DE30FD7" w14:textId="2EB171D1" w:rsidR="00F97540" w:rsidRPr="00C04324" w:rsidRDefault="00F97540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F97540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NOVÁ, M. In BENCA, J., ŠUVADA, J., GREY, E., BUČKO, L., NOVÁ, M. Globálna rozvojová pomoc. Bratislava: Dvoj farebný svet. 2016. ISBN 978-80-972478-1-2</w:t>
            </w:r>
          </w:p>
        </w:tc>
        <w:tc>
          <w:tcPr>
            <w:tcW w:w="306" w:type="dxa"/>
            <w:vAlign w:val="center"/>
          </w:tcPr>
          <w:p w14:paraId="6AE393DA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0E613A2" w14:textId="77777777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E8E932" w14:textId="77777777" w:rsidR="007224A1" w:rsidRPr="00646DFD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output's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socio-economic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97A9FA" w14:textId="77777777" w:rsidR="00646DFD" w:rsidRDefault="00646DFD" w:rsidP="00646DFD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cs-CZ"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Předkládaná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přehledová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publikace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usiluje 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přiblížení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obou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menšin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široké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čtenářské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veřejnosti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formou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srovnání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a to za využití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metod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sociologického a historického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výzkumu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stejně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jako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umělecké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reflexe. Tematické kapitoly 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Vietnamcích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Mongolech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doplňuje úvodní stať                          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vnímání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národnostních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menšin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pohledu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sociologie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Samostatnou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část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publikace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tvoří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cyklus fotografií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Jindřicha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Štreita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prostředí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zkoumaných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etnik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jež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doplňují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odbornou textovou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část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umělecko-dokumentárním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stylem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zachycují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běžné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sváteční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dny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Vietnamců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               a 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Mongolů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ČR.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Publikace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tematicky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navazuje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katalog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Lidé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 východu (Opava, 2019),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jenž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obdobným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způsobem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zachytil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situaci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tuzemské ukrajinské menšiny.</w:t>
            </w:r>
          </w:p>
          <w:p w14:paraId="10EF906C" w14:textId="77777777" w:rsidR="007224A1" w:rsidRDefault="007224A1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28471C8D" w14:textId="338583A2" w:rsidR="00646DFD" w:rsidRPr="00C04324" w:rsidRDefault="00646DFD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presented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overview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publication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seeks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bring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both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minorities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closer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a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wide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readership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form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a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comparison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using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methods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sociological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historical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as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artistic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reflection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thematic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Vietnamese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Mongolians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complemented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introductory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article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perception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national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minorities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perspective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sociology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A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separate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part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publication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consists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a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cycle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photos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Jindřich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Štreit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environment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investigated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ethnic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groups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which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complement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 part and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capture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ordinary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festive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days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Vietnamese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Mongolians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Czech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Republic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artistic-documentary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style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Thematically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publication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follows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catalog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People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East (Opava, 2019),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which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captured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situation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domestic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Ukrainian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minority in a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similar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way</w:t>
            </w:r>
            <w:proofErr w:type="spellEnd"/>
            <w:r w:rsidRPr="00646DFD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4B1F0A97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70B0CA84" w14:textId="77777777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8BD9FD" w14:textId="77777777" w:rsidR="007224A1" w:rsidRPr="00646DFD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related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educational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process</w:t>
            </w:r>
            <w:proofErr w:type="spellEnd"/>
            <w:r w:rsidRPr="00646DFD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646DFD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E67489" w14:textId="77777777" w:rsidR="007224A1" w:rsidRDefault="00646DFD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Kapitoly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zahrnují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aktuální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využitelná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studijní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obory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Charitativní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dále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Kulturně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- antropologické a geografické obory. Text obsahuje odborný 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společensko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-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vědní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přehled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 menšinách Vietnamské a Mongolské na území Československa  v kontextu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historie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dále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zaměřuji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integraci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těchto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menšin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v rámci České republiky 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jejich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rozdílnost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a je možné je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aplikovat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i v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jiných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společensko-vědních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předmětech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Využití i pro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studium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studentů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přípravu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zkoušky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 do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seminárních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prací,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bakalářských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 diplomových prací v rámci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citací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odborných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textů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Určeno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nejen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studentům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 odborné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veřejnosti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313671DD" w14:textId="5AC28321" w:rsidR="00646DFD" w:rsidRPr="00C04324" w:rsidRDefault="00646DFD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include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current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study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Charitable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as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Cultural-Anthropological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Geographical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contains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socio-scientific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overview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Vietnamese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Mongolian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minorities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territory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Czechoslovakia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context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history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I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focus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these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minorities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within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Czech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Republic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their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differences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possible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apply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them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other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science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subjects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as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well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prepare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exams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seminar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papers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bachelor's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diploma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theses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citations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texts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Intended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not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only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graduation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paper</w:t>
            </w:r>
            <w:proofErr w:type="spellEnd"/>
            <w:r w:rsidRPr="00646DFD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10BAFE0C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</w:tbl>
    <w:p w14:paraId="49561C55" w14:textId="77777777"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8D54" w14:textId="77777777" w:rsidR="003F49A3" w:rsidRDefault="003F49A3">
      <w:pPr>
        <w:spacing w:line="240" w:lineRule="auto"/>
      </w:pPr>
      <w:r>
        <w:separator/>
      </w:r>
    </w:p>
  </w:endnote>
  <w:endnote w:type="continuationSeparator" w:id="0">
    <w:p w14:paraId="1C385B3A" w14:textId="77777777" w:rsidR="003F49A3" w:rsidRDefault="003F4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7315" w14:textId="77777777" w:rsidR="003F49A3" w:rsidRDefault="003F49A3">
      <w:pPr>
        <w:spacing w:after="0"/>
      </w:pPr>
      <w:r>
        <w:separator/>
      </w:r>
    </w:p>
  </w:footnote>
  <w:footnote w:type="continuationSeparator" w:id="0">
    <w:p w14:paraId="575EAECB" w14:textId="77777777" w:rsidR="003F49A3" w:rsidRDefault="003F49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4AB3"/>
    <w:multiLevelType w:val="hybridMultilevel"/>
    <w:tmpl w:val="1AB4B710"/>
    <w:lvl w:ilvl="0" w:tplc="005283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3558">
    <w:abstractNumId w:val="0"/>
  </w:num>
  <w:num w:numId="2" w16cid:durableId="259029193">
    <w:abstractNumId w:val="1"/>
  </w:num>
  <w:num w:numId="3" w16cid:durableId="1339574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7315E"/>
    <w:rsid w:val="00092CD9"/>
    <w:rsid w:val="00190A9C"/>
    <w:rsid w:val="00200AF9"/>
    <w:rsid w:val="00211BB7"/>
    <w:rsid w:val="00271844"/>
    <w:rsid w:val="002912A3"/>
    <w:rsid w:val="002964B9"/>
    <w:rsid w:val="003F49A3"/>
    <w:rsid w:val="004075EA"/>
    <w:rsid w:val="00456371"/>
    <w:rsid w:val="0049026D"/>
    <w:rsid w:val="004C0ADE"/>
    <w:rsid w:val="004D6940"/>
    <w:rsid w:val="00500C3F"/>
    <w:rsid w:val="0059396E"/>
    <w:rsid w:val="00646DFD"/>
    <w:rsid w:val="006C73D0"/>
    <w:rsid w:val="007224A1"/>
    <w:rsid w:val="0073261A"/>
    <w:rsid w:val="007C34BF"/>
    <w:rsid w:val="008107C8"/>
    <w:rsid w:val="00892621"/>
    <w:rsid w:val="008A22CD"/>
    <w:rsid w:val="00950673"/>
    <w:rsid w:val="009E6E44"/>
    <w:rsid w:val="009F5FEA"/>
    <w:rsid w:val="00AE2E87"/>
    <w:rsid w:val="00B0336E"/>
    <w:rsid w:val="00B90267"/>
    <w:rsid w:val="00C04324"/>
    <w:rsid w:val="00C74DB5"/>
    <w:rsid w:val="00D55593"/>
    <w:rsid w:val="00D6126B"/>
    <w:rsid w:val="00DD3948"/>
    <w:rsid w:val="00E02A12"/>
    <w:rsid w:val="00E1037F"/>
    <w:rsid w:val="00E23D51"/>
    <w:rsid w:val="00E57DB8"/>
    <w:rsid w:val="00E93968"/>
    <w:rsid w:val="00F32688"/>
    <w:rsid w:val="00F627C1"/>
    <w:rsid w:val="00F765D6"/>
    <w:rsid w:val="00F907A9"/>
    <w:rsid w:val="00F97540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2D9A"/>
  <w15:docId w15:val="{37C7607A-EDAD-44E1-8667-710694A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T ISO,Footnote Text Char,Voetnoottekst Char,Voetnoottekst Char Char1 Char,Voetnoottekst Char Char1 Char Char Char,Voetnoottekst Char1 Char,Voetnoottekst Char1 Char Char Char"/>
    <w:basedOn w:val="Normln"/>
    <w:link w:val="TextpoznpodarouChar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Standardnpsmoodstavce"/>
    <w:rsid w:val="002912A3"/>
  </w:style>
  <w:style w:type="character" w:styleId="Zdraznn">
    <w:name w:val="Emphasis"/>
    <w:basedOn w:val="Standardnpsmoodstavce"/>
    <w:uiPriority w:val="20"/>
    <w:qFormat/>
    <w:rsid w:val="00FA6129"/>
    <w:rPr>
      <w:i/>
      <w:iCs/>
    </w:rPr>
  </w:style>
  <w:style w:type="paragraph" w:styleId="Odstavecseseznamem">
    <w:name w:val="List Paragraph"/>
    <w:basedOn w:val="Normln"/>
    <w:uiPriority w:val="99"/>
    <w:rsid w:val="00FA6129"/>
    <w:pPr>
      <w:ind w:left="720"/>
      <w:contextualSpacing/>
    </w:pPr>
  </w:style>
  <w:style w:type="character" w:customStyle="1" w:styleId="TextpoznpodarouChar">
    <w:name w:val="Text pozn. pod čarou Char"/>
    <w:aliases w:val="FNT ISO Char,Footnote Text Char Char,Voetnoottekst Char Char,Voetnoottekst Char Char1 Char Char,Voetnoottekst Char Char1 Char Char Char Char,Voetnoottekst Char1 Char Char,Voetnoottekst Char1 Char Char Char Char"/>
    <w:link w:val="Textpoznpod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1645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Monika Nová</cp:lastModifiedBy>
  <cp:revision>2</cp:revision>
  <dcterms:created xsi:type="dcterms:W3CDTF">2024-01-31T04:33:00Z</dcterms:created>
  <dcterms:modified xsi:type="dcterms:W3CDTF">2024-01-31T04:33:00Z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